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市（州）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推荐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第三批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专精特新“小巨人”企业汇总表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0"/>
          <w:szCs w:val="30"/>
          <w:lang w:eastAsia="zh-CN"/>
        </w:rPr>
        <w:t>市州中小企业主管部门（盖章）：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44"/>
        <w:gridCol w:w="1432"/>
        <w:gridCol w:w="2530"/>
        <w:gridCol w:w="2161"/>
        <w:gridCol w:w="1614"/>
        <w:gridCol w:w="1686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企业类型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（拟对外发布）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属于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省级“专精特新”中小企业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初核指标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所属分类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初核指标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必备指标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right="0" w:rightChars="0" w:hanging="840" w:hangingChars="4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说明：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表格内容必填，须盖章。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省级“专精特新”中小企业包括：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2017-2020年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省级培育认定的“专精特新”中小企业、高成型、行业“小巨人”企业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（详见川经信企业〔2017〕46号、川经信企业函〔2018〕296号、川经信企业〔2017〕409号、川经信办函〔2018〕62号、川经信企业函〔2020〕109号、川经信办〔2021〕1号）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 w:right="0" w:rightChars="0" w:hanging="840" w:hangingChars="4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     2.若不属于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省级“专精特新”中小企业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eastAsia="zh-CN"/>
        </w:rPr>
        <w:t>，请在备注栏说明推荐理由。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     3.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所属分类填写企业申请书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“六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初核推荐”中“分类指标（3选1）”的字母序号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     4.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必备指标填写企业申请书“六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初核推荐”中企业符合“6项必备指标”中的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项（字母序号可多选）</w:t>
      </w:r>
      <w:r>
        <w:rPr>
          <w:rFonts w:hint="eastAsia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03D3"/>
    <w:rsid w:val="266B0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2021-04-28T01:44:00Z</dcterms:created>
  <dc:creator>IV</dc:creator>
  <cp:lastModifiedBy>IV</cp:lastModifiedBy>
  <dcterms:modified xsi:type="dcterms:W3CDTF">2021-04-28T01:45:12Z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BE54967E20D54C3FAAF0DBEE70667B1F</vt:lpwstr>
  </property>
</Properties>
</file>