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5G+</w:t>
      </w:r>
      <w:r w:rsidRPr="000A2201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医疗健康应用试点项目建议方向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（一）5G+急诊救治。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在急救人员、救护车、应急指挥中心、医院之间构建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5G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应急救援网络，在救护车接到患者的第一时间，将病患体征以及病情等大量生命信息数据实时回传到后台指挥中心，帮助院内医生做出正确指导并提前制定抢救方案的医疗急救服务，实现患者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“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上车即入院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”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的愿景。结合无人机、救护机器人等无人系统，针对灾区、战场等复杂环境提供应急救援指导、伤员应急救援定位、远程急救等服务。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（二）5G+远程诊断。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依托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5G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网络并积极运用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VR/AR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、全息、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3D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打印等技术，支持超高清远程多学科会诊（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MDT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）、远程影像诊断、远程病理诊断、远程超声诊断、远程手术指导、医学教育培训等远程诊断应用，实现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4K/8K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远程超高清会诊以及医学影像、超声、心电等信息的高速传输与共享，并支持电子病历在线融合。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（三）5G+远程治疗。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借助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5G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网络低时延、高可靠等特性，结合医疗机器人、传感器等技术，支持医生开展远程手术、远程放疗等诊疗服务，有效保障医疗质量和患者安全。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（四）5G+远程重症监护（ICU）。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借助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5G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网络支持各种医疗设备在医疗监护过程中对重症患者生命体征实时、连续和长时间监测，持续上报重症患者位置和生命体征信息（包括心电、呼吸和血氧等生理信号），并能够将危急报警信息上报给医护人员。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（五）5G+中医诊疗。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支持提供中医药养生保健、医疗、康复、护理等智能服务，采集、存储和管理慢性病或老年人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体征和行为监测、健康档案、中医养生保健等数据，推动中医特色诊疗服务智能化发展。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（六）5G+医院管理。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支持构建院内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5G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医疗物联网，将医院海量医疗设备和非医疗类资产有机连接，能够实现医疗设备状态监测、医院资产管理、院内急救调度、医务人员管理、门禁安防等服务，提升医院管理效率和患者就医体验。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（七）5G+智能疾控。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5G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络和全国传染病防控哨点，支持各地传染病监测、筛查、流行病学调查、密切接触者追溯、疫苗配送管理等，可及时掌握和动态分析重点人群疾病发生趋势及传染病疫情信息，提高突发公共卫生事件预警与应急响应能力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（八）5G+健康管理。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</w:t>
      </w:r>
      <w:r w:rsidRPr="000A220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5G</w:t>
      </w:r>
      <w:r w:rsidRPr="000A22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网络和医疗健康可穿戴设备、人工智能等技术，针对慢性病、孕产妇、老年人、职业病患者、严重精神障碍患者等重点人群，构建居民个人健康画像，开展疾病危险因素监测和健康管理服务。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5G+医疗健康应用试点项目申报书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1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项目名称：</w:t>
      </w:r>
      <w:r w:rsidRPr="000A2201">
        <w:rPr>
          <w:rFonts w:ascii="宋体" w:eastAsia="宋体" w:hAnsi="宋体" w:cs="宋体"/>
          <w:kern w:val="0"/>
          <w:sz w:val="24"/>
          <w:szCs w:val="24"/>
        </w:rPr>
        <w:t>               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1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项目方向：</w:t>
      </w:r>
      <w:r w:rsidRPr="000A2201">
        <w:rPr>
          <w:rFonts w:ascii="宋体" w:eastAsia="宋体" w:hAnsi="宋体" w:cs="宋体"/>
          <w:kern w:val="0"/>
          <w:sz w:val="24"/>
          <w:szCs w:val="24"/>
        </w:rPr>
        <w:t>               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1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申报单位：</w:t>
      </w: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    </w:t>
      </w:r>
      <w:r w:rsidRPr="000A2201">
        <w:rPr>
          <w:rFonts w:ascii="黑体" w:eastAsia="黑体" w:hAnsi="黑体" w:cs="宋体" w:hint="eastAsia"/>
          <w:kern w:val="0"/>
          <w:sz w:val="32"/>
          <w:szCs w:val="32"/>
          <w:u w:val="single"/>
        </w:rPr>
        <w:t>（加盖单位公章）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1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申报日期：</w:t>
      </w: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     </w:t>
      </w: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年</w:t>
      </w: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     </w:t>
      </w: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月</w:t>
      </w: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    </w:t>
      </w: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日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6"/>
          <w:szCs w:val="36"/>
        </w:rPr>
        <w:t>工业和信息化部、国家卫生健康委员会指导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6"/>
          <w:szCs w:val="36"/>
        </w:rPr>
        <w:t>中国信息通信研究院编制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44"/>
          <w:szCs w:val="44"/>
        </w:rPr>
        <w:t>填</w:t>
      </w: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A2201">
        <w:rPr>
          <w:rFonts w:ascii="黑体" w:eastAsia="黑体" w:hAnsi="黑体" w:cs="宋体" w:hint="eastAsia"/>
          <w:kern w:val="0"/>
          <w:sz w:val="44"/>
          <w:szCs w:val="44"/>
        </w:rPr>
        <w:t>表</w:t>
      </w: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A2201">
        <w:rPr>
          <w:rFonts w:ascii="黑体" w:eastAsia="黑体" w:hAnsi="黑体" w:cs="宋体" w:hint="eastAsia"/>
          <w:kern w:val="0"/>
          <w:sz w:val="44"/>
          <w:szCs w:val="44"/>
        </w:rPr>
        <w:t>须</w:t>
      </w: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A2201">
        <w:rPr>
          <w:rFonts w:ascii="黑体" w:eastAsia="黑体" w:hAnsi="黑体" w:cs="宋体" w:hint="eastAsia"/>
          <w:kern w:val="0"/>
          <w:sz w:val="44"/>
          <w:szCs w:val="44"/>
        </w:rPr>
        <w:t>知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 w:line="360" w:lineRule="auto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一、申报单位应仔细阅读《关于组织开展</w:t>
      </w: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5G+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医疗健康应用试点项目申报工作的通知》及有关说明，如实、详细地填写每一部分内容。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 w:line="360" w:lineRule="auto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二、申报材料要求盖章处，均须加盖公章，复印无效，并加盖骑缝章。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 w:line="360" w:lineRule="auto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三、申报书打印要求：正反面打印。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br w:type="textWrapping" w:clear="all"/>
        <w:t> </w:t>
      </w:r>
    </w:p>
    <w:p w:rsid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P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2201" w:rsidRPr="000A2201" w:rsidRDefault="000A2201" w:rsidP="000A2201">
      <w:pPr>
        <w:widowControl/>
        <w:snapToGrid w:val="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一、申报单位和申报项目基本情况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104"/>
        <w:gridCol w:w="1692"/>
        <w:gridCol w:w="397"/>
        <w:gridCol w:w="866"/>
        <w:gridCol w:w="1308"/>
        <w:gridCol w:w="397"/>
        <w:gridCol w:w="2128"/>
      </w:tblGrid>
      <w:tr w:rsidR="000A2201" w:rsidRPr="000A2201" w:rsidTr="000A2201">
        <w:trPr>
          <w:trHeight w:val="780"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8220" w:type="dxa"/>
            <w:gridSpan w:val="7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765"/>
          <w:jc w:val="center"/>
        </w:trPr>
        <w:tc>
          <w:tcPr>
            <w:tcW w:w="16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组织机构代码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三证合一码</w:t>
            </w:r>
          </w:p>
        </w:tc>
        <w:tc>
          <w:tcPr>
            <w:tcW w:w="8220" w:type="dxa"/>
            <w:gridSpan w:val="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765"/>
          <w:jc w:val="center"/>
        </w:trPr>
        <w:tc>
          <w:tcPr>
            <w:tcW w:w="16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申报单位地址</w:t>
            </w:r>
          </w:p>
        </w:tc>
        <w:tc>
          <w:tcPr>
            <w:tcW w:w="8220" w:type="dxa"/>
            <w:gridSpan w:val="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765"/>
          <w:jc w:val="center"/>
        </w:trPr>
        <w:tc>
          <w:tcPr>
            <w:tcW w:w="16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0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5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765"/>
          <w:jc w:val="center"/>
        </w:trPr>
        <w:tc>
          <w:tcPr>
            <w:tcW w:w="16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30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65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40"/>
          <w:jc w:val="center"/>
        </w:trPr>
        <w:tc>
          <w:tcPr>
            <w:tcW w:w="169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4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20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20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25"/>
          <w:jc w:val="center"/>
        </w:trPr>
        <w:tc>
          <w:tcPr>
            <w:tcW w:w="169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联合申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报单位</w:t>
            </w:r>
          </w:p>
        </w:tc>
        <w:tc>
          <w:tcPr>
            <w:tcW w:w="331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组织机构代码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三证合一码</w:t>
            </w:r>
          </w:p>
        </w:tc>
      </w:tr>
      <w:tr w:rsidR="000A2201" w:rsidRPr="000A2201" w:rsidTr="000A2201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135"/>
          <w:jc w:val="center"/>
        </w:trPr>
        <w:tc>
          <w:tcPr>
            <w:tcW w:w="1695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申报试点项目方向</w:t>
            </w:r>
          </w:p>
        </w:tc>
        <w:tc>
          <w:tcPr>
            <w:tcW w:w="4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方向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5G+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应急救治</w:t>
            </w:r>
          </w:p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方向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5G+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远程诊断</w:t>
            </w:r>
          </w:p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方向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5G+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远程治疗</w:t>
            </w:r>
          </w:p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方向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5G+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远程重症监护（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ICU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1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trHeight w:val="13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方向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5G+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中医诊疗</w:t>
            </w:r>
          </w:p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方向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5G+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医院管理</w:t>
            </w:r>
          </w:p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方向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5G+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智能疾控</w:t>
            </w:r>
          </w:p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方向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5G+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健康管理</w:t>
            </w:r>
          </w:p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其他方向：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_________</w:t>
            </w:r>
          </w:p>
        </w:tc>
        <w:tc>
          <w:tcPr>
            <w:tcW w:w="4110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牵头单位简介</w:t>
            </w:r>
          </w:p>
        </w:tc>
        <w:tc>
          <w:tcPr>
            <w:tcW w:w="8220" w:type="dxa"/>
            <w:gridSpan w:val="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（发展历程、医疗卫生服务能力、资源整合共享能力、技术成果转化能力等方面基本情况，不超过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字）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联合申报的企业或机构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简介</w:t>
            </w:r>
          </w:p>
        </w:tc>
        <w:tc>
          <w:tcPr>
            <w:tcW w:w="8220" w:type="dxa"/>
            <w:gridSpan w:val="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（重点突出联合申报企业或机构在申报方向的特色、优势等，不超过</w:t>
            </w:r>
            <w:r w:rsidRPr="000A22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1000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字）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2201" w:rsidRPr="000A2201" w:rsidTr="000A2201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8220" w:type="dxa"/>
            <w:gridSpan w:val="7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201" w:rsidRPr="000A2201" w:rsidRDefault="000A2201" w:rsidP="000A2201">
            <w:pPr>
              <w:widowControl/>
              <w:snapToGrid w:val="0"/>
              <w:spacing w:before="62"/>
              <w:ind w:firstLine="30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ind w:firstLine="30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ind w:firstLine="6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 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负责人签字（章）：</w:t>
            </w:r>
          </w:p>
          <w:p w:rsidR="000A2201" w:rsidRPr="000A2201" w:rsidRDefault="000A2201" w:rsidP="000A2201">
            <w:pPr>
              <w:widowControl/>
              <w:snapToGrid w:val="0"/>
              <w:spacing w:before="62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            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公章：</w:t>
            </w:r>
          </w:p>
          <w:p w:rsidR="000A2201" w:rsidRPr="000A2201" w:rsidRDefault="000A2201" w:rsidP="000A220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                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0A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A2201" w:rsidRPr="000A2201" w:rsidTr="000A220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201" w:rsidRPr="000A2201" w:rsidRDefault="000A2201" w:rsidP="000A2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0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A2201" w:rsidRPr="000A2201" w:rsidRDefault="000A2201" w:rsidP="000A2201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Pr="000A2201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0A2201">
        <w:rPr>
          <w:rFonts w:ascii="宋体" w:eastAsia="宋体" w:hAnsi="宋体" w:cs="宋体" w:hint="eastAsia"/>
          <w:kern w:val="0"/>
          <w:sz w:val="24"/>
          <w:szCs w:val="24"/>
        </w:rPr>
        <w:t>标</w:t>
      </w:r>
      <w:r w:rsidRPr="000A2201">
        <w:rPr>
          <w:rFonts w:ascii="Times New Roman" w:eastAsia="宋体" w:hAnsi="Times New Roman" w:cs="Times New Roman"/>
          <w:kern w:val="0"/>
          <w:sz w:val="24"/>
          <w:szCs w:val="24"/>
        </w:rPr>
        <w:t>*</w:t>
      </w:r>
      <w:r w:rsidRPr="000A2201">
        <w:rPr>
          <w:rFonts w:ascii="宋体" w:eastAsia="宋体" w:hAnsi="宋体" w:cs="宋体" w:hint="eastAsia"/>
          <w:kern w:val="0"/>
          <w:sz w:val="24"/>
          <w:szCs w:val="24"/>
        </w:rPr>
        <w:t>部分，提供相应证明材料</w:t>
      </w:r>
      <w:r w:rsidRPr="000A2201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0A2201">
        <w:rPr>
          <w:rFonts w:ascii="宋体" w:eastAsia="宋体" w:hAnsi="宋体" w:cs="宋体" w:hint="eastAsia"/>
          <w:kern w:val="0"/>
          <w:sz w:val="24"/>
          <w:szCs w:val="24"/>
        </w:rPr>
        <w:t>申报单</w:t>
      </w:r>
      <w:proofErr w:type="gramStart"/>
      <w:r w:rsidRPr="000A2201">
        <w:rPr>
          <w:rFonts w:ascii="宋体" w:eastAsia="宋体" w:hAnsi="宋体" w:cs="宋体" w:hint="eastAsia"/>
          <w:kern w:val="0"/>
          <w:sz w:val="24"/>
          <w:szCs w:val="24"/>
        </w:rPr>
        <w:t>位相关</w:t>
      </w:r>
      <w:proofErr w:type="gramEnd"/>
      <w:r w:rsidRPr="000A2201">
        <w:rPr>
          <w:rFonts w:ascii="宋体" w:eastAsia="宋体" w:hAnsi="宋体" w:cs="宋体" w:hint="eastAsia"/>
          <w:kern w:val="0"/>
          <w:sz w:val="24"/>
          <w:szCs w:val="24"/>
        </w:rPr>
        <w:t>证明材料见附件</w:t>
      </w:r>
      <w:r w:rsidRPr="000A2201">
        <w:rPr>
          <w:rFonts w:ascii="Times New Roman" w:eastAsia="宋体" w:hAnsi="Times New Roman" w:cs="Times New Roman"/>
          <w:kern w:val="0"/>
          <w:sz w:val="24"/>
          <w:szCs w:val="24"/>
        </w:rPr>
        <w:t>1)</w:t>
      </w:r>
      <w:r w:rsidRPr="000A220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proofErr w:type="gramStart"/>
      <w:r w:rsidRPr="000A2201">
        <w:rPr>
          <w:rFonts w:ascii="宋体" w:eastAsia="宋体" w:hAnsi="宋体" w:cs="宋体" w:hint="eastAsia"/>
          <w:kern w:val="0"/>
          <w:sz w:val="24"/>
          <w:szCs w:val="24"/>
        </w:rPr>
        <w:t>若联合</w:t>
      </w:r>
      <w:proofErr w:type="gramEnd"/>
      <w:r w:rsidRPr="000A2201">
        <w:rPr>
          <w:rFonts w:ascii="宋体" w:eastAsia="宋体" w:hAnsi="宋体" w:cs="宋体" w:hint="eastAsia"/>
          <w:kern w:val="0"/>
          <w:sz w:val="24"/>
          <w:szCs w:val="24"/>
        </w:rPr>
        <w:t>申报的企业或机构为多家，则需将每家单位简介进行填写。</w:t>
      </w:r>
    </w:p>
    <w:p w:rsidR="000A2201" w:rsidRP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br w:type="textWrapping" w:clear="all"/>
        <w:t> </w:t>
      </w:r>
    </w:p>
    <w:p w:rsidR="000A2201" w:rsidRPr="000A2201" w:rsidRDefault="000A2201" w:rsidP="000A2201">
      <w:pPr>
        <w:widowControl/>
        <w:snapToGrid w:val="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二、申报项目建设方案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（一）项目实施方案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1.项目目标和必要性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（项目目标、项目背景和必要性等。）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2.项目建设内容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（总体技术方案、</w:t>
      </w: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5G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组网方案、关键软件和设备研发方案、应用平台研发方案等。）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3.已有工作基础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（已部署</w:t>
      </w: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5G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网络应用平台和设备情况，已开展相应业务情况等。）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4. 组织方式与管理机制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（项目组织方式和机制，创新人才队伍凝聚和培养方案，技术、模式、政策等风险分析及对策，时间进度安排等。）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（二）项目效益分析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1.项目实施的创新性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（模式创新，包括形成的相关服务和管理规范等；知识产权，包括形成的标准、专利、软件著作权等。）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2.项目的可推广性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（试点意义及推广价值，如解决了哪些行业共性问题；推广可行性，如试点推广的技术、资源难度等；推广范围，如可在多少医疗卫生机构推广等。）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（三）项目团队基本情况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1.项目牵头单位资质与能力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（牵头单位资质，如重点实验室、工程实验室、技术中心等；医疗卫生服务能力和资源整合能力，如医疗卫生资源数、服务人数、产业</w:t>
      </w:r>
      <w:proofErr w:type="gramStart"/>
      <w:r w:rsidRPr="000A2201">
        <w:rPr>
          <w:rFonts w:ascii="仿宋" w:eastAsia="仿宋" w:hAnsi="仿宋" w:cs="宋体" w:hint="eastAsia"/>
          <w:kern w:val="0"/>
          <w:sz w:val="32"/>
          <w:szCs w:val="32"/>
        </w:rPr>
        <w:t>链合作</w:t>
      </w:r>
      <w:proofErr w:type="gramEnd"/>
      <w:r w:rsidRPr="000A2201">
        <w:rPr>
          <w:rFonts w:ascii="仿宋" w:eastAsia="仿宋" w:hAnsi="仿宋" w:cs="宋体" w:hint="eastAsia"/>
          <w:kern w:val="0"/>
          <w:sz w:val="32"/>
          <w:szCs w:val="32"/>
        </w:rPr>
        <w:t>等；已有基础和技术水平，如专利、标准、软件著作权等；项目负责人资质及工作经验；项目团队承担国家相关项目情况等。）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b/>
          <w:bCs/>
          <w:kern w:val="0"/>
          <w:sz w:val="24"/>
          <w:szCs w:val="24"/>
        </w:rPr>
        <w:t>2.产学研用联合协作情况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（产学研用情况，如参与单位工作基础、支撑能力等；协同创新能力，如团队成员项目合作、联合实验室等。）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br w:type="textWrapping" w:clear="all"/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2-1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申报单</w:t>
      </w:r>
      <w:proofErr w:type="gramStart"/>
      <w:r w:rsidRPr="000A220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位相关</w:t>
      </w:r>
      <w:proofErr w:type="gramEnd"/>
      <w:r w:rsidRPr="000A220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证明材料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一、申报单</w:t>
      </w:r>
      <w:proofErr w:type="gramStart"/>
      <w:r w:rsidRPr="000A2201">
        <w:rPr>
          <w:rFonts w:ascii="黑体" w:eastAsia="黑体" w:hAnsi="黑体" w:cs="宋体" w:hint="eastAsia"/>
          <w:kern w:val="0"/>
          <w:sz w:val="32"/>
          <w:szCs w:val="32"/>
        </w:rPr>
        <w:t>位相关</w:t>
      </w:r>
      <w:proofErr w:type="gramEnd"/>
      <w:r w:rsidRPr="000A2201">
        <w:rPr>
          <w:rFonts w:ascii="黑体" w:eastAsia="黑体" w:hAnsi="黑体" w:cs="宋体" w:hint="eastAsia"/>
          <w:kern w:val="0"/>
          <w:sz w:val="32"/>
          <w:szCs w:val="32"/>
        </w:rPr>
        <w:t>荣誉证明材料；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（重点实验室、工程实验室、技术中心等相关证明材料）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二、申报单位医疗卫生服务能力和资源整合能力证明材料；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（医疗卫生资源数、服务人数等证明材料，与电信运营企业、设备制造企业、软件企业、医疗器械企业等产业</w:t>
      </w:r>
      <w:proofErr w:type="gramStart"/>
      <w:r w:rsidRPr="000A2201">
        <w:rPr>
          <w:rFonts w:ascii="仿宋" w:eastAsia="仿宋" w:hAnsi="仿宋" w:cs="宋体" w:hint="eastAsia"/>
          <w:kern w:val="0"/>
          <w:sz w:val="32"/>
          <w:szCs w:val="32"/>
        </w:rPr>
        <w:t>链合作</w:t>
      </w:r>
      <w:proofErr w:type="gramEnd"/>
      <w:r w:rsidRPr="000A2201">
        <w:rPr>
          <w:rFonts w:ascii="仿宋" w:eastAsia="仿宋" w:hAnsi="仿宋" w:cs="宋体" w:hint="eastAsia"/>
          <w:kern w:val="0"/>
          <w:sz w:val="32"/>
          <w:szCs w:val="32"/>
        </w:rPr>
        <w:t>证明材料）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三、已有基础和技术水平的相关证明材料；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（已有基础、技术水平等，如专利、标准、软件著作权等方面的证明）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           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四、牵头单位和联合单位之间联合协议或合同等证明材料。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（牵头单位和联合单位之间联合协议或合同，均加盖协议签署单位公章）</w:t>
      </w:r>
    </w:p>
    <w:p w:rsidR="000A2201" w:rsidRP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lastRenderedPageBreak/>
        <w:br w:type="textWrapping" w:clear="all"/>
        <w:t> </w:t>
      </w:r>
    </w:p>
    <w:p w:rsidR="000A2201" w:rsidRP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p w:rsidR="000A2201" w:rsidRPr="000A2201" w:rsidRDefault="000A2201" w:rsidP="000A220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2-2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申报主体责任声明</w:t>
      </w:r>
    </w:p>
    <w:p w:rsidR="000A2201" w:rsidRPr="000A2201" w:rsidRDefault="000A2201" w:rsidP="000A2201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根据《关于组织开展</w:t>
      </w: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5G+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医疗健康应用试点项目申报工作的通知》要求，我单位提交了</w:t>
      </w:r>
    </w:p>
    <w:p w:rsidR="000A2201" w:rsidRPr="000A2201" w:rsidRDefault="000A2201" w:rsidP="000A2201"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                          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项目参评。</w:t>
      </w:r>
    </w:p>
    <w:p w:rsidR="000A2201" w:rsidRPr="000A2201" w:rsidRDefault="000A2201" w:rsidP="000A2201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现就有关情况声明如下：</w:t>
      </w:r>
    </w:p>
    <w:p w:rsidR="000A2201" w:rsidRPr="000A2201" w:rsidRDefault="000A2201" w:rsidP="000A2201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1.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我单位对提供参评的全部资料的真实性负责。</w:t>
      </w:r>
    </w:p>
    <w:p w:rsidR="000A2201" w:rsidRPr="000A2201" w:rsidRDefault="000A2201" w:rsidP="000A2201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2.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我单位在参评过程中所涉及的项目内容和程序</w:t>
      </w:r>
      <w:proofErr w:type="gramStart"/>
      <w:r w:rsidRPr="000A2201">
        <w:rPr>
          <w:rFonts w:ascii="仿宋" w:eastAsia="仿宋" w:hAnsi="仿宋" w:cs="宋体" w:hint="eastAsia"/>
          <w:kern w:val="0"/>
          <w:sz w:val="32"/>
          <w:szCs w:val="32"/>
        </w:rPr>
        <w:t>皆符合</w:t>
      </w:r>
      <w:proofErr w:type="gramEnd"/>
      <w:r w:rsidRPr="000A2201">
        <w:rPr>
          <w:rFonts w:ascii="仿宋" w:eastAsia="仿宋" w:hAnsi="仿宋" w:cs="宋体" w:hint="eastAsia"/>
          <w:kern w:val="0"/>
          <w:sz w:val="32"/>
          <w:szCs w:val="32"/>
        </w:rPr>
        <w:t>国家有关法律法规及相关产业政策要求。</w:t>
      </w:r>
    </w:p>
    <w:p w:rsidR="000A2201" w:rsidRPr="000A2201" w:rsidRDefault="000A2201" w:rsidP="000A2201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3.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我单位对所提交的项目内容负有保密责任，按照国家相关保密规定，所提交的项目内容未涉及国家秘密、个人信息和其他敏感信息。</w:t>
      </w:r>
    </w:p>
    <w:p w:rsidR="000A2201" w:rsidRPr="000A2201" w:rsidRDefault="000A2201" w:rsidP="000A2201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4.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我单位申报项目所填写的相关文字和图片已经审核，确认无误。</w:t>
      </w:r>
    </w:p>
    <w:p w:rsidR="000A2201" w:rsidRPr="000A2201" w:rsidRDefault="000A2201" w:rsidP="000A2201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我单位对违反上述声明导致的后果承担全部法律责任。</w:t>
      </w:r>
    </w:p>
    <w:p w:rsidR="000A2201" w:rsidRPr="000A2201" w:rsidRDefault="000A2201" w:rsidP="000A2201">
      <w:pPr>
        <w:widowControl/>
        <w:spacing w:line="560" w:lineRule="atLeast"/>
        <w:ind w:right="640" w:firstLine="4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2201" w:rsidRPr="000A2201" w:rsidRDefault="000A2201" w:rsidP="000A2201">
      <w:pPr>
        <w:widowControl/>
        <w:spacing w:line="560" w:lineRule="atLeast"/>
        <w:ind w:right="640" w:firstLine="4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法定代表人：（签字）</w:t>
      </w:r>
    </w:p>
    <w:p w:rsidR="000A2201" w:rsidRPr="000A2201" w:rsidRDefault="000A2201" w:rsidP="000A2201">
      <w:pPr>
        <w:widowControl/>
        <w:spacing w:line="560" w:lineRule="atLeast"/>
        <w:ind w:right="640" w:firstLine="4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单位（单位盖章）</w:t>
      </w:r>
    </w:p>
    <w:p w:rsidR="000A2201" w:rsidRPr="000A2201" w:rsidRDefault="000A2201" w:rsidP="000A2201">
      <w:pPr>
        <w:widowControl/>
        <w:wordWrap w:val="0"/>
        <w:spacing w:line="560" w:lineRule="atLeast"/>
        <w:ind w:right="640" w:firstLine="6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A220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26E0A" w:rsidRDefault="000A2201" w:rsidP="000A2201">
      <w:pPr>
        <w:jc w:val="right"/>
      </w:pPr>
      <w:r w:rsidRPr="000A2201">
        <w:rPr>
          <w:rFonts w:ascii="Times New Roman" w:eastAsia="宋体" w:hAnsi="Times New Roman" w:cs="Times New Roman"/>
          <w:kern w:val="0"/>
          <w:sz w:val="32"/>
          <w:szCs w:val="32"/>
        </w:rPr>
        <w:t>2020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0A2201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0A2201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926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roman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01"/>
    <w:rsid w:val="000025E4"/>
    <w:rsid w:val="00025E9A"/>
    <w:rsid w:val="00037DC6"/>
    <w:rsid w:val="0004709A"/>
    <w:rsid w:val="000534D8"/>
    <w:rsid w:val="00053BA8"/>
    <w:rsid w:val="000542EF"/>
    <w:rsid w:val="00073544"/>
    <w:rsid w:val="000906D7"/>
    <w:rsid w:val="000950C0"/>
    <w:rsid w:val="000A2201"/>
    <w:rsid w:val="000D42E5"/>
    <w:rsid w:val="000D72D1"/>
    <w:rsid w:val="000E2A72"/>
    <w:rsid w:val="000E69A3"/>
    <w:rsid w:val="00111F44"/>
    <w:rsid w:val="00115BDA"/>
    <w:rsid w:val="00130E4D"/>
    <w:rsid w:val="001366BD"/>
    <w:rsid w:val="0015636D"/>
    <w:rsid w:val="00160CCA"/>
    <w:rsid w:val="001610CF"/>
    <w:rsid w:val="00176840"/>
    <w:rsid w:val="00180C91"/>
    <w:rsid w:val="001A17E4"/>
    <w:rsid w:val="001B044A"/>
    <w:rsid w:val="001B145A"/>
    <w:rsid w:val="001B52EF"/>
    <w:rsid w:val="001E025C"/>
    <w:rsid w:val="001E3A6A"/>
    <w:rsid w:val="001F2A66"/>
    <w:rsid w:val="001F35A8"/>
    <w:rsid w:val="002055E2"/>
    <w:rsid w:val="00215BD8"/>
    <w:rsid w:val="00220D92"/>
    <w:rsid w:val="002308F7"/>
    <w:rsid w:val="00242A55"/>
    <w:rsid w:val="00256C48"/>
    <w:rsid w:val="0026263B"/>
    <w:rsid w:val="00263B15"/>
    <w:rsid w:val="00271CA6"/>
    <w:rsid w:val="002B13C8"/>
    <w:rsid w:val="002B19C3"/>
    <w:rsid w:val="002C5100"/>
    <w:rsid w:val="002E416B"/>
    <w:rsid w:val="002E55CC"/>
    <w:rsid w:val="002E7C2A"/>
    <w:rsid w:val="0030112B"/>
    <w:rsid w:val="003163AD"/>
    <w:rsid w:val="0032009E"/>
    <w:rsid w:val="003379B3"/>
    <w:rsid w:val="003538B7"/>
    <w:rsid w:val="00393561"/>
    <w:rsid w:val="003A0834"/>
    <w:rsid w:val="003A6783"/>
    <w:rsid w:val="003C6E11"/>
    <w:rsid w:val="003F2A9A"/>
    <w:rsid w:val="003F5709"/>
    <w:rsid w:val="00403A74"/>
    <w:rsid w:val="004440AA"/>
    <w:rsid w:val="00473191"/>
    <w:rsid w:val="00473BF8"/>
    <w:rsid w:val="0047502E"/>
    <w:rsid w:val="0049128D"/>
    <w:rsid w:val="004C21F3"/>
    <w:rsid w:val="004C79E5"/>
    <w:rsid w:val="004D7C8E"/>
    <w:rsid w:val="005068E4"/>
    <w:rsid w:val="0051274B"/>
    <w:rsid w:val="005153B3"/>
    <w:rsid w:val="005176BA"/>
    <w:rsid w:val="00531E1F"/>
    <w:rsid w:val="00534AA8"/>
    <w:rsid w:val="00536100"/>
    <w:rsid w:val="0054120E"/>
    <w:rsid w:val="0054160E"/>
    <w:rsid w:val="00556677"/>
    <w:rsid w:val="00566834"/>
    <w:rsid w:val="00574E27"/>
    <w:rsid w:val="005926B0"/>
    <w:rsid w:val="005B7E47"/>
    <w:rsid w:val="005C61BA"/>
    <w:rsid w:val="005C715F"/>
    <w:rsid w:val="005D556E"/>
    <w:rsid w:val="005E2530"/>
    <w:rsid w:val="005E2585"/>
    <w:rsid w:val="005E7684"/>
    <w:rsid w:val="005F0F4E"/>
    <w:rsid w:val="005F34FE"/>
    <w:rsid w:val="005F40C6"/>
    <w:rsid w:val="005F5CF2"/>
    <w:rsid w:val="0061320F"/>
    <w:rsid w:val="006133A8"/>
    <w:rsid w:val="00634F4C"/>
    <w:rsid w:val="00635E9A"/>
    <w:rsid w:val="00642AD2"/>
    <w:rsid w:val="00647FF9"/>
    <w:rsid w:val="00672BA8"/>
    <w:rsid w:val="0067702D"/>
    <w:rsid w:val="00682A3A"/>
    <w:rsid w:val="006877BC"/>
    <w:rsid w:val="006937CC"/>
    <w:rsid w:val="006A13C2"/>
    <w:rsid w:val="006A6022"/>
    <w:rsid w:val="006F5123"/>
    <w:rsid w:val="00701DF1"/>
    <w:rsid w:val="00711A59"/>
    <w:rsid w:val="00726E22"/>
    <w:rsid w:val="00727788"/>
    <w:rsid w:val="0073357C"/>
    <w:rsid w:val="00750564"/>
    <w:rsid w:val="00783351"/>
    <w:rsid w:val="007A44AC"/>
    <w:rsid w:val="007B18B9"/>
    <w:rsid w:val="007B2F66"/>
    <w:rsid w:val="007D401C"/>
    <w:rsid w:val="007D409B"/>
    <w:rsid w:val="008025CB"/>
    <w:rsid w:val="00807AA8"/>
    <w:rsid w:val="00811926"/>
    <w:rsid w:val="00833E2A"/>
    <w:rsid w:val="008647C3"/>
    <w:rsid w:val="008722B7"/>
    <w:rsid w:val="00885A06"/>
    <w:rsid w:val="008A1E25"/>
    <w:rsid w:val="008B4C87"/>
    <w:rsid w:val="008B5FEE"/>
    <w:rsid w:val="008D1F4B"/>
    <w:rsid w:val="008E1D8E"/>
    <w:rsid w:val="008E46C8"/>
    <w:rsid w:val="009024EE"/>
    <w:rsid w:val="00902C28"/>
    <w:rsid w:val="00907B8B"/>
    <w:rsid w:val="009159DF"/>
    <w:rsid w:val="00924BE0"/>
    <w:rsid w:val="00926E0A"/>
    <w:rsid w:val="009343FE"/>
    <w:rsid w:val="00952A29"/>
    <w:rsid w:val="00962AB7"/>
    <w:rsid w:val="00963F85"/>
    <w:rsid w:val="009751C7"/>
    <w:rsid w:val="00975C4E"/>
    <w:rsid w:val="0098658C"/>
    <w:rsid w:val="009C04C3"/>
    <w:rsid w:val="009C04F1"/>
    <w:rsid w:val="009D7092"/>
    <w:rsid w:val="009F2561"/>
    <w:rsid w:val="009F28FB"/>
    <w:rsid w:val="00A03D60"/>
    <w:rsid w:val="00A2761C"/>
    <w:rsid w:val="00A42E96"/>
    <w:rsid w:val="00A56781"/>
    <w:rsid w:val="00A5708F"/>
    <w:rsid w:val="00A61BBD"/>
    <w:rsid w:val="00A674CE"/>
    <w:rsid w:val="00A9086E"/>
    <w:rsid w:val="00AA146B"/>
    <w:rsid w:val="00AB6FA6"/>
    <w:rsid w:val="00AB7795"/>
    <w:rsid w:val="00AC54BD"/>
    <w:rsid w:val="00AD480B"/>
    <w:rsid w:val="00B056BC"/>
    <w:rsid w:val="00B215A5"/>
    <w:rsid w:val="00B43F1D"/>
    <w:rsid w:val="00B65A2C"/>
    <w:rsid w:val="00B80091"/>
    <w:rsid w:val="00B857E4"/>
    <w:rsid w:val="00B909D8"/>
    <w:rsid w:val="00B919C5"/>
    <w:rsid w:val="00B96517"/>
    <w:rsid w:val="00B96959"/>
    <w:rsid w:val="00BA286C"/>
    <w:rsid w:val="00BA3028"/>
    <w:rsid w:val="00BC0BB8"/>
    <w:rsid w:val="00BC3F5D"/>
    <w:rsid w:val="00C16395"/>
    <w:rsid w:val="00C40D30"/>
    <w:rsid w:val="00C51DB8"/>
    <w:rsid w:val="00C57140"/>
    <w:rsid w:val="00C60ECD"/>
    <w:rsid w:val="00C66CA6"/>
    <w:rsid w:val="00C737AF"/>
    <w:rsid w:val="00C81709"/>
    <w:rsid w:val="00C95E14"/>
    <w:rsid w:val="00CB133B"/>
    <w:rsid w:val="00CB2C62"/>
    <w:rsid w:val="00CB46FE"/>
    <w:rsid w:val="00CC78E2"/>
    <w:rsid w:val="00CD4961"/>
    <w:rsid w:val="00D06D62"/>
    <w:rsid w:val="00D07782"/>
    <w:rsid w:val="00D13DA5"/>
    <w:rsid w:val="00D3467D"/>
    <w:rsid w:val="00D4755F"/>
    <w:rsid w:val="00D50FCA"/>
    <w:rsid w:val="00D51EB2"/>
    <w:rsid w:val="00D654A4"/>
    <w:rsid w:val="00D67E23"/>
    <w:rsid w:val="00D726FE"/>
    <w:rsid w:val="00D755AF"/>
    <w:rsid w:val="00D942FE"/>
    <w:rsid w:val="00D95D15"/>
    <w:rsid w:val="00DB052C"/>
    <w:rsid w:val="00DC1C4E"/>
    <w:rsid w:val="00DC2A86"/>
    <w:rsid w:val="00DD7BCC"/>
    <w:rsid w:val="00DE52AE"/>
    <w:rsid w:val="00DE7A12"/>
    <w:rsid w:val="00E02561"/>
    <w:rsid w:val="00E20D7E"/>
    <w:rsid w:val="00E55F9B"/>
    <w:rsid w:val="00E65F79"/>
    <w:rsid w:val="00E71D73"/>
    <w:rsid w:val="00E907EE"/>
    <w:rsid w:val="00EA5609"/>
    <w:rsid w:val="00EB23ED"/>
    <w:rsid w:val="00EB5C60"/>
    <w:rsid w:val="00F1207D"/>
    <w:rsid w:val="00F14ABB"/>
    <w:rsid w:val="00F3645C"/>
    <w:rsid w:val="00F61430"/>
    <w:rsid w:val="00F66E77"/>
    <w:rsid w:val="00F674F4"/>
    <w:rsid w:val="00F67677"/>
    <w:rsid w:val="00F67C00"/>
    <w:rsid w:val="00F83335"/>
    <w:rsid w:val="00FE0004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2CFD2-B661-4974-AA82-E44987B1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2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李光琼</dc:creator>
  <cp:keywords/>
  <dc:description/>
  <cp:lastModifiedBy>李光琼</cp:lastModifiedBy>
  <cp:revision>1</cp:revision>
  <dcterms:created xsi:type="dcterms:W3CDTF">2020-12-25T06:35:00Z</dcterms:created>
  <dcterms:modified xsi:type="dcterms:W3CDTF">2020-12-25T06:36:00Z</dcterms:modified>
</cp:coreProperties>
</file>